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F2" w:rsidRPr="00AB56F2" w:rsidRDefault="005B5C7B" w:rsidP="00AB56F2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 xml:space="preserve">Housing Applications </w:t>
      </w:r>
    </w:p>
    <w:p w:rsidR="00AB56F2" w:rsidRDefault="00AB56F2" w:rsidP="00AB56F2">
      <w:pPr>
        <w:jc w:val="center"/>
        <w:rPr>
          <w:b/>
          <w:sz w:val="40"/>
          <w:szCs w:val="40"/>
          <w:u w:val="single"/>
        </w:rPr>
      </w:pPr>
      <w:r w:rsidRPr="00AB56F2">
        <w:rPr>
          <w:b/>
          <w:sz w:val="40"/>
          <w:szCs w:val="40"/>
          <w:u w:val="single"/>
        </w:rPr>
        <w:t xml:space="preserve">April 2017 – </w:t>
      </w:r>
      <w:r w:rsidR="005B5C7B">
        <w:rPr>
          <w:b/>
          <w:sz w:val="40"/>
          <w:szCs w:val="40"/>
          <w:u w:val="single"/>
        </w:rPr>
        <w:t xml:space="preserve">March </w:t>
      </w:r>
      <w:r w:rsidRPr="00AB56F2">
        <w:rPr>
          <w:b/>
          <w:sz w:val="40"/>
          <w:szCs w:val="40"/>
          <w:u w:val="single"/>
        </w:rPr>
        <w:t>2018</w:t>
      </w:r>
    </w:p>
    <w:p w:rsidR="00750AB1" w:rsidRPr="00AB56F2" w:rsidRDefault="00750AB1" w:rsidP="00AB56F2">
      <w:pPr>
        <w:jc w:val="center"/>
        <w:rPr>
          <w:b/>
          <w:sz w:val="40"/>
          <w:szCs w:val="40"/>
          <w:u w:val="single"/>
        </w:rPr>
      </w:pPr>
    </w:p>
    <w:p w:rsidR="00AB56F2" w:rsidRPr="00245F3C" w:rsidRDefault="00D82A3B" w:rsidP="00245F3C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245F3C">
        <w:rPr>
          <w:b/>
          <w:sz w:val="32"/>
          <w:szCs w:val="32"/>
          <w:u w:val="single"/>
        </w:rPr>
        <w:t>Applications</w:t>
      </w:r>
      <w:r w:rsidR="0067258E" w:rsidRPr="00245F3C">
        <w:rPr>
          <w:b/>
          <w:sz w:val="32"/>
          <w:szCs w:val="32"/>
          <w:u w:val="single"/>
        </w:rPr>
        <w:t xml:space="preserve"> received</w:t>
      </w:r>
    </w:p>
    <w:p w:rsidR="000307C4" w:rsidRDefault="000307C4" w:rsidP="000307C4">
      <w:r>
        <w:t>Total number of applications completed by residents during the last financial year totals 8,071.</w:t>
      </w:r>
    </w:p>
    <w:p w:rsidR="000307C4" w:rsidRDefault="000307C4" w:rsidP="000307C4">
      <w:r>
        <w:t xml:space="preserve">A number of applicants failed to fully </w:t>
      </w:r>
      <w:r w:rsidR="004A5429">
        <w:t>/</w:t>
      </w:r>
      <w:r>
        <w:t xml:space="preserve">complete the application. This therefore resulted in </w:t>
      </w:r>
      <w:r w:rsidRPr="00843000">
        <w:rPr>
          <w:b/>
        </w:rPr>
        <w:t>4,589</w:t>
      </w:r>
      <w:r>
        <w:t xml:space="preserve"> fully completed. </w:t>
      </w:r>
    </w:p>
    <w:p w:rsidR="000307C4" w:rsidRDefault="000307C4" w:rsidP="000307C4">
      <w:r>
        <w:t xml:space="preserve">3,793 applications completed and activated on the </w:t>
      </w:r>
      <w:proofErr w:type="spellStart"/>
      <w:r>
        <w:t>Homesearch</w:t>
      </w:r>
      <w:proofErr w:type="spellEnd"/>
      <w:r>
        <w:t xml:space="preserve"> bidding scheme.  796 applications rejected as client filed to provide relevant documents or it was subsequently found that the applicant did not meet the qualification criteria to join the </w:t>
      </w:r>
      <w:proofErr w:type="spellStart"/>
      <w:r>
        <w:t>Homesearch</w:t>
      </w:r>
      <w:proofErr w:type="spellEnd"/>
      <w:r>
        <w:t xml:space="preserve"> bidding scheme. </w:t>
      </w:r>
    </w:p>
    <w:p w:rsidR="000307C4" w:rsidRDefault="000307C4" w:rsidP="000307C4">
      <w:r>
        <w:t xml:space="preserve">From the completed 4,589 applications, </w:t>
      </w:r>
      <w:r w:rsidR="00750AB1">
        <w:t>we have collated the following data.</w:t>
      </w:r>
    </w:p>
    <w:p w:rsidR="00750AB1" w:rsidRDefault="00750AB1" w:rsidP="000307C4">
      <w:pPr>
        <w:rPr>
          <w:u w:val="single"/>
        </w:rPr>
      </w:pPr>
    </w:p>
    <w:p w:rsidR="00750AB1" w:rsidRDefault="00750AB1" w:rsidP="000307C4">
      <w:pPr>
        <w:rPr>
          <w:u w:val="single"/>
        </w:rPr>
      </w:pPr>
    </w:p>
    <w:p w:rsidR="00750AB1" w:rsidRDefault="00750AB1" w:rsidP="000307C4">
      <w:pPr>
        <w:rPr>
          <w:u w:val="single"/>
        </w:rPr>
      </w:pPr>
    </w:p>
    <w:p w:rsidR="00245F3C" w:rsidRDefault="00245F3C" w:rsidP="000307C4">
      <w:r w:rsidRPr="00245F3C">
        <w:rPr>
          <w:u w:val="single"/>
        </w:rPr>
        <w:t>Chart 1</w:t>
      </w:r>
      <w:r>
        <w:t xml:space="preserve"> – applications broken up by sex. </w:t>
      </w:r>
    </w:p>
    <w:p w:rsidR="002E435D" w:rsidRDefault="002E435D" w:rsidP="000307C4"/>
    <w:p w:rsidR="00C64817" w:rsidRDefault="00C64817" w:rsidP="000307C4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72E3E2A" wp14:editId="7F028D7F">
            <wp:extent cx="45720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C64817">
        <w:rPr>
          <w:noProof/>
          <w:lang w:eastAsia="en-GB"/>
        </w:rPr>
        <w:t xml:space="preserve"> </w:t>
      </w:r>
    </w:p>
    <w:p w:rsidR="00750AB1" w:rsidRDefault="00750AB1" w:rsidP="000307C4">
      <w:pPr>
        <w:rPr>
          <w:noProof/>
          <w:u w:val="single"/>
          <w:lang w:eastAsia="en-GB"/>
        </w:rPr>
      </w:pPr>
    </w:p>
    <w:p w:rsidR="00750AB1" w:rsidRDefault="00750AB1" w:rsidP="000307C4">
      <w:pPr>
        <w:rPr>
          <w:noProof/>
          <w:u w:val="single"/>
          <w:lang w:eastAsia="en-GB"/>
        </w:rPr>
      </w:pPr>
    </w:p>
    <w:p w:rsidR="00750AB1" w:rsidRDefault="00750AB1" w:rsidP="000307C4">
      <w:pPr>
        <w:rPr>
          <w:noProof/>
          <w:u w:val="single"/>
          <w:lang w:eastAsia="en-GB"/>
        </w:rPr>
      </w:pPr>
    </w:p>
    <w:p w:rsidR="00245F3C" w:rsidRDefault="00245F3C" w:rsidP="000307C4">
      <w:pPr>
        <w:rPr>
          <w:noProof/>
          <w:lang w:eastAsia="en-GB"/>
        </w:rPr>
      </w:pPr>
      <w:r w:rsidRPr="00245F3C">
        <w:rPr>
          <w:noProof/>
          <w:u w:val="single"/>
          <w:lang w:eastAsia="en-GB"/>
        </w:rPr>
        <w:t>Chart 2</w:t>
      </w:r>
      <w:r>
        <w:rPr>
          <w:noProof/>
          <w:lang w:eastAsia="en-GB"/>
        </w:rPr>
        <w:t xml:space="preserve"> – Applicants whom have confirmed </w:t>
      </w:r>
    </w:p>
    <w:p w:rsidR="002E435D" w:rsidRDefault="002E435D" w:rsidP="000307C4">
      <w:pPr>
        <w:rPr>
          <w:noProof/>
          <w:lang w:eastAsia="en-GB"/>
        </w:rPr>
      </w:pPr>
    </w:p>
    <w:p w:rsidR="002D0AC8" w:rsidRDefault="002D0AC8" w:rsidP="000307C4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01BF8C0" wp14:editId="1799F3AE">
            <wp:extent cx="4572000" cy="2743200"/>
            <wp:effectExtent l="0" t="0" r="1905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0AB1" w:rsidRDefault="00750AB1" w:rsidP="000307C4">
      <w:pPr>
        <w:rPr>
          <w:noProof/>
          <w:u w:val="single"/>
          <w:lang w:eastAsia="en-GB"/>
        </w:rPr>
      </w:pPr>
    </w:p>
    <w:p w:rsidR="00750AB1" w:rsidRDefault="00750AB1" w:rsidP="000307C4">
      <w:pPr>
        <w:rPr>
          <w:noProof/>
          <w:u w:val="single"/>
          <w:lang w:eastAsia="en-GB"/>
        </w:rPr>
      </w:pPr>
    </w:p>
    <w:p w:rsidR="00245F3C" w:rsidRDefault="00245F3C" w:rsidP="000307C4">
      <w:pPr>
        <w:rPr>
          <w:noProof/>
          <w:lang w:eastAsia="en-GB"/>
        </w:rPr>
      </w:pPr>
      <w:r w:rsidRPr="00245F3C">
        <w:rPr>
          <w:noProof/>
          <w:u w:val="single"/>
          <w:lang w:eastAsia="en-GB"/>
        </w:rPr>
        <w:t xml:space="preserve">Chart 3 </w:t>
      </w:r>
      <w:r>
        <w:rPr>
          <w:noProof/>
          <w:lang w:eastAsia="en-GB"/>
        </w:rPr>
        <w:t>– Age range</w:t>
      </w:r>
    </w:p>
    <w:p w:rsidR="002E435D" w:rsidRPr="00245F3C" w:rsidRDefault="002E435D" w:rsidP="000307C4">
      <w:pPr>
        <w:rPr>
          <w:noProof/>
          <w:lang w:eastAsia="en-GB"/>
        </w:rPr>
      </w:pPr>
    </w:p>
    <w:p w:rsidR="00C64817" w:rsidRDefault="002D0AC8" w:rsidP="000307C4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994D32F" wp14:editId="1B26DC0C">
            <wp:extent cx="5343525" cy="2743200"/>
            <wp:effectExtent l="0" t="0" r="9525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5F3C" w:rsidRDefault="00245F3C" w:rsidP="000307C4">
      <w:pPr>
        <w:rPr>
          <w:noProof/>
          <w:u w:val="single"/>
          <w:lang w:eastAsia="en-GB"/>
        </w:rPr>
      </w:pPr>
    </w:p>
    <w:p w:rsidR="00245F3C" w:rsidRDefault="00245F3C" w:rsidP="000307C4">
      <w:pPr>
        <w:rPr>
          <w:noProof/>
          <w:u w:val="single"/>
          <w:lang w:eastAsia="en-GB"/>
        </w:rPr>
      </w:pPr>
    </w:p>
    <w:p w:rsidR="00750AB1" w:rsidRDefault="00750AB1" w:rsidP="000307C4">
      <w:pPr>
        <w:rPr>
          <w:noProof/>
          <w:u w:val="single"/>
          <w:lang w:eastAsia="en-GB"/>
        </w:rPr>
      </w:pPr>
    </w:p>
    <w:p w:rsidR="00245F3C" w:rsidRDefault="00245F3C" w:rsidP="000307C4">
      <w:pPr>
        <w:rPr>
          <w:noProof/>
          <w:lang w:eastAsia="en-GB"/>
        </w:rPr>
      </w:pPr>
      <w:r w:rsidRPr="00245F3C">
        <w:rPr>
          <w:noProof/>
          <w:u w:val="single"/>
          <w:lang w:eastAsia="en-GB"/>
        </w:rPr>
        <w:t>Chart 4</w:t>
      </w:r>
      <w:r>
        <w:rPr>
          <w:noProof/>
          <w:lang w:eastAsia="en-GB"/>
        </w:rPr>
        <w:t xml:space="preserve"> </w:t>
      </w:r>
      <w:r w:rsidR="002E435D">
        <w:rPr>
          <w:noProof/>
          <w:lang w:eastAsia="en-GB"/>
        </w:rPr>
        <w:t>–</w:t>
      </w:r>
      <w:r>
        <w:rPr>
          <w:noProof/>
          <w:lang w:eastAsia="en-GB"/>
        </w:rPr>
        <w:t xml:space="preserve"> Sexuality</w:t>
      </w:r>
    </w:p>
    <w:p w:rsidR="002E435D" w:rsidRDefault="002E435D" w:rsidP="000307C4">
      <w:pPr>
        <w:rPr>
          <w:noProof/>
          <w:lang w:eastAsia="en-GB"/>
        </w:rPr>
      </w:pPr>
    </w:p>
    <w:p w:rsidR="00C64817" w:rsidRDefault="002D0AC8" w:rsidP="000307C4">
      <w:r>
        <w:rPr>
          <w:noProof/>
          <w:lang w:eastAsia="en-GB"/>
        </w:rPr>
        <w:drawing>
          <wp:inline distT="0" distB="0" distL="0" distR="0" wp14:anchorId="566807E1" wp14:editId="43B3DCB2">
            <wp:extent cx="5343525" cy="2743200"/>
            <wp:effectExtent l="0" t="0" r="9525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5F3C" w:rsidRDefault="00245F3C" w:rsidP="000307C4"/>
    <w:p w:rsidR="00245F3C" w:rsidRDefault="00245F3C" w:rsidP="000307C4"/>
    <w:p w:rsidR="00245F3C" w:rsidRDefault="00245F3C" w:rsidP="000307C4"/>
    <w:p w:rsidR="00245F3C" w:rsidRDefault="00245F3C" w:rsidP="000307C4">
      <w:r w:rsidRPr="00A47D84">
        <w:rPr>
          <w:u w:val="single"/>
        </w:rPr>
        <w:t>Chart5</w:t>
      </w:r>
      <w:r w:rsidR="00A47D84">
        <w:rPr>
          <w:u w:val="single"/>
        </w:rPr>
        <w:t xml:space="preserve"> </w:t>
      </w:r>
      <w:r w:rsidR="002E435D">
        <w:t>–</w:t>
      </w:r>
      <w:r w:rsidR="00A47D84">
        <w:t xml:space="preserve"> Religion</w:t>
      </w:r>
    </w:p>
    <w:p w:rsidR="002E435D" w:rsidRPr="00A47D84" w:rsidRDefault="002E435D" w:rsidP="000307C4"/>
    <w:p w:rsidR="000307C4" w:rsidRDefault="00376DAD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2C80C24C" wp14:editId="480AC272">
            <wp:extent cx="5295900" cy="27432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45F3C" w:rsidRDefault="00245F3C">
      <w:pPr>
        <w:rPr>
          <w:b/>
        </w:rPr>
      </w:pPr>
    </w:p>
    <w:p w:rsidR="00750AB1" w:rsidRDefault="00750AB1">
      <w:pPr>
        <w:rPr>
          <w:b/>
        </w:rPr>
      </w:pPr>
    </w:p>
    <w:p w:rsidR="00A47D84" w:rsidRDefault="00A47D84">
      <w:r w:rsidRPr="00A47D84">
        <w:rPr>
          <w:u w:val="single"/>
        </w:rPr>
        <w:t>Chart 6</w:t>
      </w:r>
      <w:r>
        <w:t xml:space="preserve"> – Marital status</w:t>
      </w:r>
    </w:p>
    <w:p w:rsidR="002E435D" w:rsidRPr="00A47D84" w:rsidRDefault="002E435D"/>
    <w:p w:rsidR="002D0AC8" w:rsidRDefault="002D0AC8">
      <w:pPr>
        <w:rPr>
          <w:b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4B75D75C" wp14:editId="11DD6F01">
            <wp:extent cx="5295900" cy="27432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0AC8" w:rsidRDefault="002D0AC8">
      <w:pPr>
        <w:rPr>
          <w:b/>
          <w:sz w:val="32"/>
          <w:szCs w:val="32"/>
          <w:u w:val="single"/>
        </w:rPr>
      </w:pPr>
    </w:p>
    <w:p w:rsidR="002D0AC8" w:rsidRDefault="002D0AC8">
      <w:pPr>
        <w:rPr>
          <w:b/>
          <w:sz w:val="32"/>
          <w:szCs w:val="32"/>
          <w:u w:val="single"/>
        </w:rPr>
      </w:pPr>
    </w:p>
    <w:p w:rsidR="002D0AC8" w:rsidRDefault="002D0AC8">
      <w:pPr>
        <w:rPr>
          <w:b/>
          <w:sz w:val="32"/>
          <w:szCs w:val="32"/>
          <w:u w:val="single"/>
        </w:rPr>
      </w:pPr>
    </w:p>
    <w:p w:rsidR="002D0AC8" w:rsidRDefault="002D0AC8">
      <w:pPr>
        <w:rPr>
          <w:b/>
          <w:sz w:val="32"/>
          <w:szCs w:val="32"/>
          <w:u w:val="single"/>
        </w:rPr>
      </w:pPr>
    </w:p>
    <w:p w:rsidR="002D0AC8" w:rsidRDefault="002D0AC8">
      <w:pPr>
        <w:rPr>
          <w:b/>
          <w:sz w:val="32"/>
          <w:szCs w:val="32"/>
          <w:u w:val="single"/>
        </w:rPr>
      </w:pPr>
    </w:p>
    <w:p w:rsidR="00376DAD" w:rsidRDefault="00376DAD">
      <w:pPr>
        <w:rPr>
          <w:b/>
        </w:rPr>
      </w:pPr>
    </w:p>
    <w:sectPr w:rsidR="00376DAD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F3C" w:rsidRDefault="00245F3C" w:rsidP="00245F3C">
      <w:pPr>
        <w:spacing w:after="0" w:line="240" w:lineRule="auto"/>
      </w:pPr>
      <w:r>
        <w:separator/>
      </w:r>
    </w:p>
  </w:endnote>
  <w:endnote w:type="continuationSeparator" w:id="0">
    <w:p w:rsidR="00245F3C" w:rsidRDefault="00245F3C" w:rsidP="0024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463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6669" w:rsidRDefault="003D66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1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435D" w:rsidRDefault="003D6669">
    <w:pPr>
      <w:pStyle w:val="Footer"/>
    </w:pPr>
    <w:r>
      <w:t>April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F3C" w:rsidRDefault="00245F3C" w:rsidP="00245F3C">
      <w:pPr>
        <w:spacing w:after="0" w:line="240" w:lineRule="auto"/>
      </w:pPr>
      <w:r>
        <w:separator/>
      </w:r>
    </w:p>
  </w:footnote>
  <w:footnote w:type="continuationSeparator" w:id="0">
    <w:p w:rsidR="00245F3C" w:rsidRDefault="00245F3C" w:rsidP="00245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4441"/>
    <w:multiLevelType w:val="hybridMultilevel"/>
    <w:tmpl w:val="8A9AE04C"/>
    <w:lvl w:ilvl="0" w:tplc="C3C4E6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528C2"/>
    <w:multiLevelType w:val="hybridMultilevel"/>
    <w:tmpl w:val="4D9A8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567F5"/>
    <w:multiLevelType w:val="hybridMultilevel"/>
    <w:tmpl w:val="045213CC"/>
    <w:lvl w:ilvl="0" w:tplc="CE9EF7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05CB0"/>
    <w:multiLevelType w:val="hybridMultilevel"/>
    <w:tmpl w:val="AA88A50C"/>
    <w:lvl w:ilvl="0" w:tplc="9E56E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F2"/>
    <w:rsid w:val="000307C4"/>
    <w:rsid w:val="0006790F"/>
    <w:rsid w:val="00110183"/>
    <w:rsid w:val="00115BD5"/>
    <w:rsid w:val="001E413A"/>
    <w:rsid w:val="00217ABC"/>
    <w:rsid w:val="00245F3C"/>
    <w:rsid w:val="002677B5"/>
    <w:rsid w:val="002778DA"/>
    <w:rsid w:val="002A248E"/>
    <w:rsid w:val="002D0AC8"/>
    <w:rsid w:val="002E435D"/>
    <w:rsid w:val="00376A10"/>
    <w:rsid w:val="00376DAD"/>
    <w:rsid w:val="003D6669"/>
    <w:rsid w:val="0042357D"/>
    <w:rsid w:val="00497303"/>
    <w:rsid w:val="004A5429"/>
    <w:rsid w:val="005B5C7B"/>
    <w:rsid w:val="0067258E"/>
    <w:rsid w:val="006B2B83"/>
    <w:rsid w:val="00750AB1"/>
    <w:rsid w:val="007D6EFC"/>
    <w:rsid w:val="00855E13"/>
    <w:rsid w:val="0087361B"/>
    <w:rsid w:val="008F2DCF"/>
    <w:rsid w:val="009346F8"/>
    <w:rsid w:val="00937AC1"/>
    <w:rsid w:val="00A03D0E"/>
    <w:rsid w:val="00A47D84"/>
    <w:rsid w:val="00AB56F2"/>
    <w:rsid w:val="00AE03F8"/>
    <w:rsid w:val="00B14E9B"/>
    <w:rsid w:val="00B77560"/>
    <w:rsid w:val="00BF14C3"/>
    <w:rsid w:val="00BF1D4F"/>
    <w:rsid w:val="00C423AF"/>
    <w:rsid w:val="00C64817"/>
    <w:rsid w:val="00CB7616"/>
    <w:rsid w:val="00CF64C3"/>
    <w:rsid w:val="00D82A3B"/>
    <w:rsid w:val="00E1155B"/>
    <w:rsid w:val="00EC47EA"/>
    <w:rsid w:val="00F811BE"/>
    <w:rsid w:val="00FE1BA0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6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8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5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F3C"/>
  </w:style>
  <w:style w:type="paragraph" w:styleId="Footer">
    <w:name w:val="footer"/>
    <w:basedOn w:val="Normal"/>
    <w:link w:val="FooterChar"/>
    <w:uiPriority w:val="99"/>
    <w:unhideWhenUsed/>
    <w:rsid w:val="00245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F3C"/>
  </w:style>
  <w:style w:type="table" w:styleId="TableGrid">
    <w:name w:val="Table Grid"/>
    <w:basedOn w:val="TableNormal"/>
    <w:uiPriority w:val="59"/>
    <w:rsid w:val="005B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6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8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5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F3C"/>
  </w:style>
  <w:style w:type="paragraph" w:styleId="Footer">
    <w:name w:val="footer"/>
    <w:basedOn w:val="Normal"/>
    <w:link w:val="FooterChar"/>
    <w:uiPriority w:val="99"/>
    <w:unhideWhenUsed/>
    <w:rsid w:val="00245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F3C"/>
  </w:style>
  <w:style w:type="table" w:styleId="TableGrid">
    <w:name w:val="Table Grid"/>
    <w:basedOn w:val="TableNormal"/>
    <w:uiPriority w:val="59"/>
    <w:rsid w:val="005B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lbsth-hou-ns1\bournemouth_user$\RBellot\My%20Documents\Application%20dat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lbsth-hou-ns1\bournemouth_user$\RBellot\My%20Documents\Application%20dat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lbsth-hou-ns1\bournemouth_user$\RBellot\My%20Documents\Application%20data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lbsth-hou-ns1\bournemouth_user$\RBellot\My%20Documents\Application%20data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lbsth-hou-ns1\bournemouth_user$\RBellot\My%20Documents\Application%20data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lbsth-hou-ns1\bournemouth_user$\RBellot\My%20Documents\Application%20dat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u="sng"/>
              <a:t>Sex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Sheet1!$B$2:$B$3</c:f>
              <c:numCache>
                <c:formatCode>#,##0</c:formatCode>
                <c:ptCount val="2"/>
                <c:pt idx="0">
                  <c:v>1783</c:v>
                </c:pt>
                <c:pt idx="1">
                  <c:v>2806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u="sng"/>
              <a:t>Disability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Sheet1!$A$37:$A$40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Refused to answer</c:v>
                </c:pt>
                <c:pt idx="3">
                  <c:v>No Data</c:v>
                </c:pt>
              </c:strCache>
            </c:strRef>
          </c:cat>
          <c:val>
            <c:numRef>
              <c:f>Sheet1!$B$37:$B$40</c:f>
              <c:numCache>
                <c:formatCode>General</c:formatCode>
                <c:ptCount val="4"/>
                <c:pt idx="0">
                  <c:v>686</c:v>
                </c:pt>
                <c:pt idx="1">
                  <c:v>3728</c:v>
                </c:pt>
                <c:pt idx="2">
                  <c:v>102</c:v>
                </c:pt>
                <c:pt idx="3">
                  <c:v>73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Age</a:t>
            </a:r>
            <a:r>
              <a:rPr lang="en-GB" baseline="0"/>
              <a:t> range</a:t>
            </a:r>
            <a:endParaRPr lang="en-GB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Sheet1!$A$43:$A$47</c:f>
              <c:strCache>
                <c:ptCount val="5"/>
                <c:pt idx="0">
                  <c:v>18-25</c:v>
                </c:pt>
                <c:pt idx="1">
                  <c:v>26-35</c:v>
                </c:pt>
                <c:pt idx="2">
                  <c:v>36-55</c:v>
                </c:pt>
                <c:pt idx="3">
                  <c:v>55 and over</c:v>
                </c:pt>
                <c:pt idx="4">
                  <c:v>No Data</c:v>
                </c:pt>
              </c:strCache>
            </c:strRef>
          </c:cat>
          <c:val>
            <c:numRef>
              <c:f>Sheet1!$B$43:$B$47</c:f>
              <c:numCache>
                <c:formatCode>General</c:formatCode>
                <c:ptCount val="5"/>
                <c:pt idx="0">
                  <c:v>881</c:v>
                </c:pt>
                <c:pt idx="1">
                  <c:v>1533</c:v>
                </c:pt>
                <c:pt idx="2">
                  <c:v>1441</c:v>
                </c:pt>
                <c:pt idx="3">
                  <c:v>671</c:v>
                </c:pt>
                <c:pt idx="4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2633600"/>
        <c:axId val="332635136"/>
        <c:axId val="0"/>
      </c:bar3DChart>
      <c:catAx>
        <c:axId val="332633600"/>
        <c:scaling>
          <c:orientation val="minMax"/>
        </c:scaling>
        <c:delete val="0"/>
        <c:axPos val="b"/>
        <c:majorTickMark val="none"/>
        <c:minorTickMark val="none"/>
        <c:tickLblPos val="nextTo"/>
        <c:crossAx val="332635136"/>
        <c:crosses val="autoZero"/>
        <c:auto val="1"/>
        <c:lblAlgn val="ctr"/>
        <c:lblOffset val="100"/>
        <c:noMultiLvlLbl val="0"/>
      </c:catAx>
      <c:valAx>
        <c:axId val="3326351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32633600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Sexuality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Sheet1!$A$6:$A$12</c:f>
              <c:strCache>
                <c:ptCount val="7"/>
                <c:pt idx="0">
                  <c:v>Bisexual</c:v>
                </c:pt>
                <c:pt idx="1">
                  <c:v>Gay Man</c:v>
                </c:pt>
                <c:pt idx="2">
                  <c:v>Gay Woman</c:v>
                </c:pt>
                <c:pt idx="3">
                  <c:v>Heterosexual</c:v>
                </c:pt>
                <c:pt idx="4">
                  <c:v>Other</c:v>
                </c:pt>
                <c:pt idx="5">
                  <c:v>Prefer not to say</c:v>
                </c:pt>
                <c:pt idx="6">
                  <c:v>No data</c:v>
                </c:pt>
              </c:strCache>
            </c:strRef>
          </c:cat>
          <c:val>
            <c:numRef>
              <c:f>Sheet1!$B$6:$B$12</c:f>
              <c:numCache>
                <c:formatCode>General</c:formatCode>
                <c:ptCount val="7"/>
                <c:pt idx="0">
                  <c:v>55</c:v>
                </c:pt>
                <c:pt idx="1">
                  <c:v>72</c:v>
                </c:pt>
                <c:pt idx="2">
                  <c:v>42</c:v>
                </c:pt>
                <c:pt idx="3" formatCode="#,##0">
                  <c:v>3870</c:v>
                </c:pt>
                <c:pt idx="4">
                  <c:v>123</c:v>
                </c:pt>
                <c:pt idx="5">
                  <c:v>425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2657024"/>
        <c:axId val="332658560"/>
        <c:axId val="0"/>
      </c:bar3DChart>
      <c:catAx>
        <c:axId val="332657024"/>
        <c:scaling>
          <c:orientation val="minMax"/>
        </c:scaling>
        <c:delete val="0"/>
        <c:axPos val="b"/>
        <c:majorTickMark val="none"/>
        <c:minorTickMark val="none"/>
        <c:tickLblPos val="nextTo"/>
        <c:crossAx val="332658560"/>
        <c:crosses val="autoZero"/>
        <c:auto val="1"/>
        <c:lblAlgn val="ctr"/>
        <c:lblOffset val="100"/>
        <c:noMultiLvlLbl val="0"/>
      </c:catAx>
      <c:valAx>
        <c:axId val="3326585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32657024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Religion 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Sheet1!$A$15:$A$24</c:f>
              <c:strCache>
                <c:ptCount val="10"/>
                <c:pt idx="0">
                  <c:v>Atheist</c:v>
                </c:pt>
                <c:pt idx="1">
                  <c:v>Buddhist</c:v>
                </c:pt>
                <c:pt idx="2">
                  <c:v>Christian</c:v>
                </c:pt>
                <c:pt idx="3">
                  <c:v>Hindu</c:v>
                </c:pt>
                <c:pt idx="4">
                  <c:v>Jewish</c:v>
                </c:pt>
                <c:pt idx="5">
                  <c:v>Muslim</c:v>
                </c:pt>
                <c:pt idx="6">
                  <c:v>Sikh</c:v>
                </c:pt>
                <c:pt idx="7">
                  <c:v>Other</c:v>
                </c:pt>
                <c:pt idx="8">
                  <c:v>Prefer not to say</c:v>
                </c:pt>
                <c:pt idx="9">
                  <c:v>No Data</c:v>
                </c:pt>
              </c:strCache>
            </c:strRef>
          </c:cat>
          <c:val>
            <c:numRef>
              <c:f>Sheet1!$B$15:$B$24</c:f>
              <c:numCache>
                <c:formatCode>General</c:formatCode>
                <c:ptCount val="10"/>
                <c:pt idx="0">
                  <c:v>280</c:v>
                </c:pt>
                <c:pt idx="1">
                  <c:v>40</c:v>
                </c:pt>
                <c:pt idx="2">
                  <c:v>2501</c:v>
                </c:pt>
                <c:pt idx="3">
                  <c:v>16</c:v>
                </c:pt>
                <c:pt idx="4">
                  <c:v>2</c:v>
                </c:pt>
                <c:pt idx="5">
                  <c:v>676</c:v>
                </c:pt>
                <c:pt idx="6">
                  <c:v>6</c:v>
                </c:pt>
                <c:pt idx="7">
                  <c:v>362</c:v>
                </c:pt>
                <c:pt idx="8">
                  <c:v>704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2680192"/>
        <c:axId val="332714752"/>
        <c:axId val="0"/>
      </c:bar3DChart>
      <c:catAx>
        <c:axId val="332680192"/>
        <c:scaling>
          <c:orientation val="minMax"/>
        </c:scaling>
        <c:delete val="0"/>
        <c:axPos val="b"/>
        <c:majorTickMark val="none"/>
        <c:minorTickMark val="none"/>
        <c:tickLblPos val="nextTo"/>
        <c:crossAx val="332714752"/>
        <c:crosses val="autoZero"/>
        <c:auto val="1"/>
        <c:lblAlgn val="ctr"/>
        <c:lblOffset val="100"/>
        <c:noMultiLvlLbl val="0"/>
      </c:catAx>
      <c:valAx>
        <c:axId val="3327147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3268019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Marital</a:t>
            </a:r>
            <a:r>
              <a:rPr lang="en-GB" baseline="0"/>
              <a:t> status</a:t>
            </a:r>
            <a:endParaRPr lang="en-GB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Sheet1!$A$27:$A$34</c:f>
              <c:strCache>
                <c:ptCount val="8"/>
                <c:pt idx="0">
                  <c:v>Divorced</c:v>
                </c:pt>
                <c:pt idx="1">
                  <c:v>Living together</c:v>
                </c:pt>
                <c:pt idx="2">
                  <c:v>Married</c:v>
                </c:pt>
                <c:pt idx="3">
                  <c:v>Partners</c:v>
                </c:pt>
                <c:pt idx="4">
                  <c:v>Separated</c:v>
                </c:pt>
                <c:pt idx="5">
                  <c:v>Single</c:v>
                </c:pt>
                <c:pt idx="6">
                  <c:v>Widowed</c:v>
                </c:pt>
                <c:pt idx="7">
                  <c:v>No Data</c:v>
                </c:pt>
              </c:strCache>
            </c:strRef>
          </c:cat>
          <c:val>
            <c:numRef>
              <c:f>Sheet1!$B$27:$B$34</c:f>
              <c:numCache>
                <c:formatCode>General</c:formatCode>
                <c:ptCount val="8"/>
                <c:pt idx="0">
                  <c:v>223</c:v>
                </c:pt>
                <c:pt idx="1">
                  <c:v>209</c:v>
                </c:pt>
                <c:pt idx="2">
                  <c:v>752</c:v>
                </c:pt>
                <c:pt idx="3">
                  <c:v>159</c:v>
                </c:pt>
                <c:pt idx="4">
                  <c:v>16</c:v>
                </c:pt>
                <c:pt idx="5">
                  <c:v>3080</c:v>
                </c:pt>
                <c:pt idx="6">
                  <c:v>116</c:v>
                </c:pt>
                <c:pt idx="7">
                  <c:v>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2748672"/>
        <c:axId val="332750208"/>
        <c:axId val="0"/>
      </c:bar3DChart>
      <c:catAx>
        <c:axId val="332748672"/>
        <c:scaling>
          <c:orientation val="minMax"/>
        </c:scaling>
        <c:delete val="0"/>
        <c:axPos val="b"/>
        <c:majorTickMark val="none"/>
        <c:minorTickMark val="none"/>
        <c:tickLblPos val="nextTo"/>
        <c:crossAx val="332750208"/>
        <c:crosses val="autoZero"/>
        <c:auto val="1"/>
        <c:lblAlgn val="ctr"/>
        <c:lblOffset val="100"/>
        <c:noMultiLvlLbl val="0"/>
      </c:catAx>
      <c:valAx>
        <c:axId val="3327502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3274867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Bellot, Ricky</dc:creator>
  <cp:lastModifiedBy>Stickells, Paul</cp:lastModifiedBy>
  <cp:revision>2</cp:revision>
  <dcterms:created xsi:type="dcterms:W3CDTF">2018-08-01T11:03:00Z</dcterms:created>
  <dcterms:modified xsi:type="dcterms:W3CDTF">2018-08-01T11:03:00Z</dcterms:modified>
</cp:coreProperties>
</file>